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4B62C4B2"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D6213F">
        <w:rPr>
          <w:rFonts w:ascii="Aptos Display" w:eastAsia="Gill Sans MT" w:hAnsi="Aptos Display" w:cs="Gill Sans MT"/>
          <w:sz w:val="40"/>
          <w:szCs w:val="40"/>
        </w:rPr>
        <w:t>2</w:t>
      </w:r>
      <w:r w:rsidRPr="00C97A03">
        <w:rPr>
          <w:rFonts w:ascii="Aptos Display" w:eastAsia="Gill Sans MT" w:hAnsi="Aptos Display" w:cs="Gill Sans MT"/>
          <w:sz w:val="40"/>
          <w:szCs w:val="40"/>
        </w:rPr>
        <w:t>.0</w:t>
      </w:r>
      <w:r w:rsidR="000719CB">
        <w:rPr>
          <w:rFonts w:ascii="Aptos Display" w:eastAsia="Gill Sans MT" w:hAnsi="Aptos Display" w:cs="Gill Sans MT"/>
          <w:sz w:val="40"/>
          <w:szCs w:val="40"/>
        </w:rPr>
        <w:t>1</w:t>
      </w:r>
      <w:r w:rsidRPr="00C97A03">
        <w:rPr>
          <w:rFonts w:ascii="Aptos Display" w:eastAsia="Gill Sans MT" w:hAnsi="Aptos Display" w:cs="Gill Sans MT"/>
          <w:sz w:val="40"/>
          <w:szCs w:val="40"/>
        </w:rPr>
        <w:t>.0</w:t>
      </w:r>
      <w:r w:rsidR="00D6213F">
        <w:rPr>
          <w:rFonts w:ascii="Aptos Display" w:eastAsia="Gill Sans MT" w:hAnsi="Aptos Display" w:cs="Gill Sans MT"/>
          <w:sz w:val="40"/>
          <w:szCs w:val="40"/>
        </w:rPr>
        <w:t>1</w:t>
      </w:r>
    </w:p>
    <w:p w14:paraId="3B3AB835" w14:textId="7A3C776B" w:rsidR="00D6213F" w:rsidRPr="000719CB" w:rsidRDefault="00B82FE3" w:rsidP="000719CB">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Ro</w:t>
      </w:r>
      <w:r w:rsidR="00D6213F">
        <w:rPr>
          <w:rFonts w:ascii="Aptos Display" w:eastAsia="Gill Sans MT" w:hAnsi="Aptos Display" w:cs="Gill Sans MT"/>
          <w:sz w:val="40"/>
          <w:szCs w:val="40"/>
        </w:rPr>
        <w:t>boty ziemne</w:t>
      </w:r>
      <w:r w:rsidR="000719CB">
        <w:rPr>
          <w:rFonts w:ascii="Aptos Display" w:eastAsia="Gill Sans MT" w:hAnsi="Aptos Display" w:cs="Gill Sans MT"/>
          <w:sz w:val="40"/>
          <w:szCs w:val="40"/>
        </w:rPr>
        <w:t xml:space="preserve"> w gruntach nieskalistych</w:t>
      </w:r>
    </w:p>
    <w:p w14:paraId="41CA7DF1" w14:textId="77777777" w:rsidR="000719CB" w:rsidRPr="000719CB" w:rsidRDefault="000719CB" w:rsidP="000719CB">
      <w:pPr>
        <w:pStyle w:val="Standard"/>
        <w:pageBreakBefore/>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lastRenderedPageBreak/>
        <w:t>WSTĘP</w:t>
      </w:r>
    </w:p>
    <w:p w14:paraId="104E6796"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Przedmiot SST</w:t>
      </w:r>
    </w:p>
    <w:p w14:paraId="2AE8A196" w14:textId="52798D01" w:rsid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Przedmiotem niniejszej szczegółowej specyfikacji technicznej (SST) są wymagania dotyczące wykonania i odbioru robot ziemnych w gruntach nieskalistych</w:t>
      </w:r>
      <w:r>
        <w:rPr>
          <w:rFonts w:ascii="Aptos Display" w:hAnsi="Aptos Display"/>
          <w:sz w:val="18"/>
          <w:szCs w:val="18"/>
        </w:rPr>
        <w:t>, które zostaną wykonane w ramach zadania pn.:</w:t>
      </w:r>
    </w:p>
    <w:p w14:paraId="173B00F2" w14:textId="77777777" w:rsidR="00417E7D" w:rsidRDefault="00417E7D" w:rsidP="00417E7D">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0E0E8043" w14:textId="77777777" w:rsidR="000719CB" w:rsidRPr="000719CB" w:rsidRDefault="000719CB" w:rsidP="000719CB">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398BC4E5"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Zakres stosowania SST</w:t>
      </w:r>
    </w:p>
    <w:p w14:paraId="420D5105"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Niniejsza szczegółowa specyfikacja techniczna SST stanowi dokument przetargowy i kontraktowy przy zlecaniu i realizacji robót drogowych wymienionych w pkt. 1.1.</w:t>
      </w:r>
    </w:p>
    <w:p w14:paraId="13E9FFC4"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Zakres robót objętych SST</w:t>
      </w:r>
    </w:p>
    <w:p w14:paraId="1305B89B"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Ustalenia zawarte w niniejszej specyfikacji dotyczą zasad prowadzenia robót ziemnych </w:t>
      </w:r>
      <w:r w:rsidRPr="000719CB">
        <w:rPr>
          <w:rFonts w:ascii="Aptos Display" w:hAnsi="Aptos Display"/>
          <w:sz w:val="18"/>
          <w:szCs w:val="18"/>
        </w:rPr>
        <w:br/>
        <w:t>w czasie budowy lub modernizacji dróg i obejmują wykonanie wykopów w gruntach nieskalistych.</w:t>
      </w:r>
    </w:p>
    <w:p w14:paraId="5D87C0D6"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Określenia podstawowe</w:t>
      </w:r>
    </w:p>
    <w:p w14:paraId="3BFDCA3A"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Stosowane określenia podstawowe są zgodne z obowiązującymi, odpowiednimi polskimi normami oraz z definicjami podanymi w SST D-00.00.00 Wymagania ogólne pkt 1.4.</w:t>
      </w:r>
    </w:p>
    <w:p w14:paraId="1243EFE9"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wymagania dotyczące robót</w:t>
      </w:r>
    </w:p>
    <w:p w14:paraId="53577324"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wymagania dotyczące robót podano w SST D-00.00.00 Wymagania ogólne pkt 1.5.</w:t>
      </w:r>
    </w:p>
    <w:p w14:paraId="5CE92071"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768E6C42"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MATERIAŁY (GRUNTY)</w:t>
      </w:r>
    </w:p>
    <w:p w14:paraId="50DC1EAE"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Materiał występujący w podłożu wykopu jest gruntem rodzimym, który będzie stanowił podłoże nawierzchni. Zgodnie z Katalogiem typowych konstrukcji nawierzchni podatnych i półsztywnych powinien charakteryzować się grupą nośności G1. Gdy podłoże nawierzchni zaklasyfikowano do innej grupy nośności, należy podłoże doprowadzić do grupy nośności G1 zgodnie z dokumentacja projektową i SST.</w:t>
      </w:r>
    </w:p>
    <w:p w14:paraId="2791D90C"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2140610D"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SPRZĘT</w:t>
      </w:r>
    </w:p>
    <w:p w14:paraId="3DD7F256"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wymagania i ustalenia dotyczące sprzętu określono w SST D-02.00.01 pkt 3.</w:t>
      </w:r>
    </w:p>
    <w:p w14:paraId="20789314"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4CAF24D5"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TRANSPORT</w:t>
      </w:r>
    </w:p>
    <w:p w14:paraId="7624CC8D"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wymagania i ustalenia dotyczące transportu określono w SST D-02.00.01 pkt 4.</w:t>
      </w:r>
    </w:p>
    <w:p w14:paraId="7CC840DE"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Ziemię z wykopów należy przewieść na wysypisko oraz poddać utylizacji.</w:t>
      </w:r>
    </w:p>
    <w:p w14:paraId="296D8A66"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WYKONANIE ROBÓT</w:t>
      </w:r>
    </w:p>
    <w:p w14:paraId="6A63275F"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Zasady prowadzenia robót</w:t>
      </w:r>
    </w:p>
    <w:p w14:paraId="78EA49D1"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prowadzenia robót podano w SST D-02.00.01 pkt 5.</w:t>
      </w:r>
    </w:p>
    <w:p w14:paraId="4F1EBCC1"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w:t>
      </w:r>
      <w:r w:rsidRPr="000719CB">
        <w:rPr>
          <w:rFonts w:ascii="Aptos Display" w:hAnsi="Aptos Display"/>
          <w:sz w:val="18"/>
          <w:szCs w:val="18"/>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 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 Odspojone grunty przydatne do wykonania nasypów powinny być bezpośrednio wbudowane w nasyp lub przewiezione na odkład. O ile Inżynier dopuści czasowe składowanie odspojonych  gruntów, należy je odpowiednio zabezpieczyć przed nadmiernym zawilgoceniem.</w:t>
      </w:r>
    </w:p>
    <w:p w14:paraId="693C0C41"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Wymagania dotyczące zagęszczenia i nośności gruntu</w:t>
      </w:r>
    </w:p>
    <w:p w14:paraId="3FAF1924"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Zagęszczenie gruntu w wykopach i miejscach zerowych robót ziemnych powinno spełniać wymagania, dotyczące minimalnej wartości wskaźnika zagęszczenia (Is), podanego w tablicy 1.</w:t>
      </w:r>
    </w:p>
    <w:p w14:paraId="3B6459C3"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13D465F5"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Tablica 1. Minimalne wartości wskaźnika zagęszczenia w wykopach i miejscach zerowych robót ziemnych</w:t>
      </w:r>
    </w:p>
    <w:tbl>
      <w:tblPr>
        <w:tblW w:w="6825" w:type="dxa"/>
        <w:tblInd w:w="58" w:type="dxa"/>
        <w:tblLayout w:type="fixed"/>
        <w:tblCellMar>
          <w:left w:w="10" w:type="dxa"/>
          <w:right w:w="10" w:type="dxa"/>
        </w:tblCellMar>
        <w:tblLook w:val="0000" w:firstRow="0" w:lastRow="0" w:firstColumn="0" w:lastColumn="0" w:noHBand="0" w:noVBand="0"/>
      </w:tblPr>
      <w:tblGrid>
        <w:gridCol w:w="3614"/>
        <w:gridCol w:w="3211"/>
      </w:tblGrid>
      <w:tr w:rsidR="000719CB" w:rsidRPr="000719CB" w14:paraId="4AC09C44" w14:textId="77777777" w:rsidTr="000F0899">
        <w:tc>
          <w:tcPr>
            <w:tcW w:w="3614"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65832DB"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Strefa</w:t>
            </w:r>
          </w:p>
          <w:p w14:paraId="10A3E702"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korpusu</w:t>
            </w:r>
          </w:p>
        </w:tc>
        <w:tc>
          <w:tcPr>
            <w:tcW w:w="32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AE1FD55"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Minimalna wartość Is dla</w:t>
            </w:r>
          </w:p>
        </w:tc>
      </w:tr>
      <w:tr w:rsidR="000719CB" w:rsidRPr="000719CB" w14:paraId="7CF2D772" w14:textId="77777777" w:rsidTr="000F0899">
        <w:tc>
          <w:tcPr>
            <w:tcW w:w="3614"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A37B63E" w14:textId="77777777" w:rsidR="000719CB" w:rsidRPr="000719CB" w:rsidRDefault="000719CB" w:rsidP="000719CB">
            <w:pPr>
              <w:tabs>
                <w:tab w:val="left" w:pos="567"/>
              </w:tabs>
              <w:jc w:val="both"/>
              <w:rPr>
                <w:rFonts w:ascii="Aptos Display" w:hAnsi="Aptos Display"/>
                <w:sz w:val="18"/>
                <w:szCs w:val="18"/>
              </w:rPr>
            </w:pPr>
          </w:p>
        </w:tc>
        <w:tc>
          <w:tcPr>
            <w:tcW w:w="321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65744B0"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kategoria ruchu KR3</w:t>
            </w:r>
          </w:p>
        </w:tc>
      </w:tr>
      <w:tr w:rsidR="000719CB" w:rsidRPr="000719CB" w14:paraId="08DEFC11" w14:textId="77777777" w:rsidTr="000F0899">
        <w:tc>
          <w:tcPr>
            <w:tcW w:w="3614" w:type="dxa"/>
            <w:tcBorders>
              <w:left w:val="single" w:sz="2" w:space="0" w:color="000000"/>
              <w:bottom w:val="single" w:sz="2" w:space="0" w:color="000000"/>
            </w:tcBorders>
            <w:tcMar>
              <w:top w:w="55" w:type="dxa"/>
              <w:left w:w="55" w:type="dxa"/>
              <w:bottom w:w="55" w:type="dxa"/>
              <w:right w:w="55" w:type="dxa"/>
            </w:tcMar>
          </w:tcPr>
          <w:p w14:paraId="0B402382"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Górna warstwa o grubości 20 cm</w:t>
            </w:r>
          </w:p>
        </w:tc>
        <w:tc>
          <w:tcPr>
            <w:tcW w:w="321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69EE5B4"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1,00</w:t>
            </w:r>
          </w:p>
        </w:tc>
      </w:tr>
      <w:tr w:rsidR="000719CB" w:rsidRPr="000719CB" w14:paraId="16F942A7" w14:textId="77777777" w:rsidTr="000F0899">
        <w:tc>
          <w:tcPr>
            <w:tcW w:w="3614" w:type="dxa"/>
            <w:tcBorders>
              <w:left w:val="single" w:sz="2" w:space="0" w:color="000000"/>
              <w:bottom w:val="single" w:sz="2" w:space="0" w:color="000000"/>
            </w:tcBorders>
            <w:tcMar>
              <w:top w:w="55" w:type="dxa"/>
              <w:left w:w="55" w:type="dxa"/>
              <w:bottom w:w="55" w:type="dxa"/>
              <w:right w:w="55" w:type="dxa"/>
            </w:tcMar>
          </w:tcPr>
          <w:p w14:paraId="6D78CB33"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Na głębokości od 20 do 50 cm od powierzchni robót ziemnych</w:t>
            </w:r>
          </w:p>
        </w:tc>
        <w:tc>
          <w:tcPr>
            <w:tcW w:w="321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E18581D" w14:textId="77777777" w:rsidR="000719CB" w:rsidRPr="000719CB" w:rsidRDefault="000719CB" w:rsidP="000719CB">
            <w:pPr>
              <w:pStyle w:val="TableContents"/>
              <w:tabs>
                <w:tab w:val="left" w:pos="567"/>
              </w:tabs>
              <w:jc w:val="both"/>
              <w:rPr>
                <w:rFonts w:ascii="Aptos Display" w:hAnsi="Aptos Display"/>
                <w:sz w:val="18"/>
                <w:szCs w:val="18"/>
              </w:rPr>
            </w:pPr>
            <w:r w:rsidRPr="000719CB">
              <w:rPr>
                <w:rFonts w:ascii="Aptos Display" w:hAnsi="Aptos Display"/>
                <w:sz w:val="18"/>
                <w:szCs w:val="18"/>
              </w:rPr>
              <w:t>1,00</w:t>
            </w:r>
          </w:p>
        </w:tc>
      </w:tr>
    </w:tbl>
    <w:p w14:paraId="737ECCA4"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627DB6D2"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Jeżeli grunty rodzime w wykopach i miejscach zerowych nie spełniają wymaganego wskaźnika zagęszczenia, to przed ułożeniem konstrukcji nawierzchni należy je dogęścić do wartości Is, podanych w tablicy 1.</w:t>
      </w:r>
    </w:p>
    <w:p w14:paraId="0BDB9140"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14:paraId="015FFA81"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Dodatkowo można sprawdzić nośność warstwy gruntu na powierzchni robót ziemnych na podstawie pomiaru wtórnego modułu odkształcenia E2 zgodnie z PN-02205:1998 rysunek 4.</w:t>
      </w:r>
    </w:p>
    <w:p w14:paraId="5A19C775"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lastRenderedPageBreak/>
        <w:t>Ruch budowlany</w:t>
      </w:r>
    </w:p>
    <w:p w14:paraId="2A05ADDF"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w:t>
      </w:r>
      <w:r w:rsidRPr="000719CB">
        <w:rPr>
          <w:rFonts w:ascii="Aptos Display" w:hAnsi="Aptos Display"/>
          <w:sz w:val="18"/>
          <w:szCs w:val="18"/>
        </w:rPr>
        <w:tab/>
        <w:t>Nie należy dopuszczać ruchu budowlanego po dnie wykopu o ile grubość warstwy gruntu (nadkładu) powyżej rzędnych robót ziemnych jest mniejsza niż 0,3 m.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14:paraId="36EC0533"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1790506B"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KONTROLA JAKOŚCI ROBÓT</w:t>
      </w:r>
    </w:p>
    <w:p w14:paraId="1669D903"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kontroli jakości robót</w:t>
      </w:r>
    </w:p>
    <w:p w14:paraId="75B70E25"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kontroli jakości robót podano w SST D-02.00.01 pkt 6.</w:t>
      </w:r>
    </w:p>
    <w:p w14:paraId="0AA69B47"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Kontrola wykonania wykopów</w:t>
      </w:r>
    </w:p>
    <w:p w14:paraId="349FB3C2"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 xml:space="preserve">      Kontrola wykonania wykopów polega na sprawdzeniu zgodności z wymaganiami określonymi w dokumentacji projektowej i SST. W czasie kontroli szczególną uwagę należy zwrócić na:</w:t>
      </w:r>
    </w:p>
    <w:p w14:paraId="6DBFDF75"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a) sposób odspajania gruntów nie pogarszający ich właściwości,</w:t>
      </w:r>
    </w:p>
    <w:p w14:paraId="74EC7E5E"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b) zapewnienie stateczności skarp,</w:t>
      </w:r>
    </w:p>
    <w:p w14:paraId="2FB8C786"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c) odwodnienie wykopów w czasie wykonywania robót i po ich zakończeniu,</w:t>
      </w:r>
    </w:p>
    <w:p w14:paraId="5ECB1E65"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d) dokładność wykonania wykopów (usytuowanie i wykończenie),</w:t>
      </w:r>
    </w:p>
    <w:p w14:paraId="3159E3CE"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e) zagęszczenie górnej strefy korpusu w wykopie według wymagań określonych w punkcie 5.2.</w:t>
      </w:r>
    </w:p>
    <w:p w14:paraId="60852AE1"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6FCAD9CB"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OBMIAR ROBÓT</w:t>
      </w:r>
    </w:p>
    <w:p w14:paraId="54123BB4"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obmiaru robót</w:t>
      </w:r>
    </w:p>
    <w:p w14:paraId="5A894513"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obmiaru robót podano w SST D-02.00.01 pkt 7.</w:t>
      </w:r>
    </w:p>
    <w:p w14:paraId="5F2BDE31"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Jednostka obmiarowa</w:t>
      </w:r>
    </w:p>
    <w:p w14:paraId="30F7D40B"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Jednostką obmiarową jest m3 (metr sześcienny) wykonanego wykopu.</w:t>
      </w:r>
    </w:p>
    <w:p w14:paraId="2E8E8676"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ODBIÓR ROBÓT</w:t>
      </w:r>
    </w:p>
    <w:p w14:paraId="2CC915E4"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zasady odbioru robót podano w SST D-02.00.01 pkt 8.</w:t>
      </w:r>
    </w:p>
    <w:p w14:paraId="39598812"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3AC5F5E1"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PODSTAWA PŁATNOŚCI</w:t>
      </w:r>
    </w:p>
    <w:p w14:paraId="57767C53"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ustalenia dotyczące podstawy płatności</w:t>
      </w:r>
    </w:p>
    <w:p w14:paraId="778C4FD8"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Ogólne ustalenia dotyczące podstawy płatności podano w SST D-02.00.01 pkt 9.</w:t>
      </w:r>
    </w:p>
    <w:p w14:paraId="5CE00D8C" w14:textId="77777777" w:rsidR="000719CB" w:rsidRPr="000719CB" w:rsidRDefault="000719CB" w:rsidP="000719CB">
      <w:pPr>
        <w:pStyle w:val="Standard"/>
        <w:numPr>
          <w:ilvl w:val="1"/>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Cena jednostki obmiarowej</w:t>
      </w:r>
    </w:p>
    <w:p w14:paraId="1A74AC46"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Cena wykonania 1 m3 wykopów w gruntach nieskalistych obejmuje:</w:t>
      </w:r>
    </w:p>
    <w:p w14:paraId="0901A8F0"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prace pomiarowe i roboty przygotowawcze,</w:t>
      </w:r>
    </w:p>
    <w:p w14:paraId="1FBAB8CF"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oznakowanie robót,</w:t>
      </w:r>
    </w:p>
    <w:p w14:paraId="5950AAD3"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wykonanie wykopu z transportem urobku na odkład, obejmujące: odspojenie, przemieszczenie, załadunek, przewiezienie i wyładunek,</w:t>
      </w:r>
    </w:p>
    <w:p w14:paraId="06B64163"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odwodnienie wykopu na czas jego wykonywania,</w:t>
      </w:r>
    </w:p>
    <w:p w14:paraId="18F7398D"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profilowanie dna wykopu, rowów, skarp,</w:t>
      </w:r>
    </w:p>
    <w:p w14:paraId="5F678DBE"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zagęszczenie powierzchni wykopu,</w:t>
      </w:r>
    </w:p>
    <w:p w14:paraId="22B5A2B8"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przeprowadzenie pomiarów i badań laboratoryjnych, wymaganych w specyfikacji technicznej,</w:t>
      </w:r>
    </w:p>
    <w:p w14:paraId="2D302784"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rozplantowanie urobku na odkładzie,</w:t>
      </w:r>
    </w:p>
    <w:p w14:paraId="2B68AF0C"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wykonanie, a następnie rozebranie dróg dojazdowych,</w:t>
      </w:r>
    </w:p>
    <w:p w14:paraId="6A102CC2" w14:textId="77777777" w:rsidR="000719CB" w:rsidRPr="000719CB" w:rsidRDefault="000719CB" w:rsidP="000719CB">
      <w:pPr>
        <w:pStyle w:val="Standard"/>
        <w:numPr>
          <w:ilvl w:val="0"/>
          <w:numId w:val="47"/>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rekultywację terenu.</w:t>
      </w:r>
    </w:p>
    <w:p w14:paraId="099200AC"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p>
    <w:p w14:paraId="41307311" w14:textId="77777777" w:rsidR="000719CB" w:rsidRPr="000719CB" w:rsidRDefault="000719CB" w:rsidP="000719CB">
      <w:pPr>
        <w:pStyle w:val="Standard"/>
        <w:numPr>
          <w:ilvl w:val="0"/>
          <w:numId w:val="46"/>
        </w:numPr>
        <w:tabs>
          <w:tab w:val="left" w:pos="567"/>
          <w:tab w:val="right" w:leader="dot" w:pos="7937"/>
        </w:tabs>
        <w:jc w:val="both"/>
        <w:rPr>
          <w:rFonts w:ascii="Aptos Display" w:hAnsi="Aptos Display"/>
          <w:sz w:val="18"/>
          <w:szCs w:val="18"/>
        </w:rPr>
      </w:pPr>
      <w:r w:rsidRPr="000719CB">
        <w:rPr>
          <w:rFonts w:ascii="Aptos Display" w:hAnsi="Aptos Display"/>
          <w:sz w:val="18"/>
          <w:szCs w:val="18"/>
        </w:rPr>
        <w:t>PRZEPISY ZWIĄZANE</w:t>
      </w:r>
    </w:p>
    <w:p w14:paraId="7ABB2FEF" w14:textId="77777777" w:rsidR="000719CB" w:rsidRPr="000719CB" w:rsidRDefault="000719CB" w:rsidP="000719CB">
      <w:pPr>
        <w:pStyle w:val="Standard"/>
        <w:tabs>
          <w:tab w:val="left" w:pos="567"/>
          <w:tab w:val="right" w:leader="dot" w:pos="7937"/>
        </w:tabs>
        <w:jc w:val="both"/>
        <w:rPr>
          <w:rFonts w:ascii="Aptos Display" w:hAnsi="Aptos Display"/>
          <w:sz w:val="18"/>
          <w:szCs w:val="18"/>
        </w:rPr>
      </w:pPr>
      <w:r w:rsidRPr="000719CB">
        <w:rPr>
          <w:rFonts w:ascii="Aptos Display" w:hAnsi="Aptos Display"/>
          <w:sz w:val="18"/>
          <w:szCs w:val="18"/>
        </w:rPr>
        <w:t>Spis przepisów związanych podano w SST D-02.00.01 pkt 10.</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1"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13"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4"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5"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8"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1"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5"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6"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1"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2"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5"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6"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8"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39"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1"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3"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4"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36"/>
  </w:num>
  <w:num w:numId="2" w16cid:durableId="1090927194">
    <w:abstractNumId w:val="12"/>
  </w:num>
  <w:num w:numId="3" w16cid:durableId="1200051253">
    <w:abstractNumId w:val="36"/>
    <w:lvlOverride w:ilvl="0">
      <w:startOverride w:val="1"/>
    </w:lvlOverride>
    <w:lvlOverride w:ilvl="1">
      <w:startOverride w:val="1"/>
    </w:lvlOverride>
    <w:lvlOverride w:ilvl="2">
      <w:startOverride w:val="1"/>
    </w:lvlOverride>
  </w:num>
  <w:num w:numId="4" w16cid:durableId="1206597819">
    <w:abstractNumId w:val="31"/>
  </w:num>
  <w:num w:numId="5" w16cid:durableId="695620920">
    <w:abstractNumId w:val="13"/>
  </w:num>
  <w:num w:numId="6" w16cid:durableId="57169743">
    <w:abstractNumId w:val="36"/>
    <w:lvlOverride w:ilvl="0">
      <w:startOverride w:val="1"/>
    </w:lvlOverride>
    <w:lvlOverride w:ilvl="1">
      <w:startOverride w:val="1"/>
    </w:lvlOverride>
    <w:lvlOverride w:ilvl="2">
      <w:startOverride w:val="1"/>
    </w:lvlOverride>
  </w:num>
  <w:num w:numId="7" w16cid:durableId="983236745">
    <w:abstractNumId w:val="18"/>
  </w:num>
  <w:num w:numId="8" w16cid:durableId="678235787">
    <w:abstractNumId w:val="43"/>
  </w:num>
  <w:num w:numId="9" w16cid:durableId="543182273">
    <w:abstractNumId w:val="17"/>
  </w:num>
  <w:num w:numId="10" w16cid:durableId="815300288">
    <w:abstractNumId w:val="10"/>
  </w:num>
  <w:num w:numId="11" w16cid:durableId="1879464172">
    <w:abstractNumId w:val="37"/>
  </w:num>
  <w:num w:numId="12" w16cid:durableId="256448409">
    <w:abstractNumId w:val="24"/>
  </w:num>
  <w:num w:numId="13" w16cid:durableId="2099712370">
    <w:abstractNumId w:val="30"/>
  </w:num>
  <w:num w:numId="14" w16cid:durableId="2076859055">
    <w:abstractNumId w:val="14"/>
  </w:num>
  <w:num w:numId="15" w16cid:durableId="964165752">
    <w:abstractNumId w:val="34"/>
  </w:num>
  <w:num w:numId="16" w16cid:durableId="496503191">
    <w:abstractNumId w:val="42"/>
  </w:num>
  <w:num w:numId="17" w16cid:durableId="628512319">
    <w:abstractNumId w:val="4"/>
  </w:num>
  <w:num w:numId="18" w16cid:durableId="1775595661">
    <w:abstractNumId w:val="27"/>
  </w:num>
  <w:num w:numId="19" w16cid:durableId="514543739">
    <w:abstractNumId w:val="29"/>
  </w:num>
  <w:num w:numId="20" w16cid:durableId="527909604">
    <w:abstractNumId w:val="11"/>
  </w:num>
  <w:num w:numId="21" w16cid:durableId="1751269680">
    <w:abstractNumId w:val="44"/>
  </w:num>
  <w:num w:numId="22" w16cid:durableId="136341916">
    <w:abstractNumId w:val="28"/>
  </w:num>
  <w:num w:numId="23" w16cid:durableId="1382175639">
    <w:abstractNumId w:val="38"/>
  </w:num>
  <w:num w:numId="24" w16cid:durableId="44571865">
    <w:abstractNumId w:val="15"/>
  </w:num>
  <w:num w:numId="25" w16cid:durableId="1848204863">
    <w:abstractNumId w:val="1"/>
  </w:num>
  <w:num w:numId="26" w16cid:durableId="1620183615">
    <w:abstractNumId w:val="35"/>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41"/>
  </w:num>
  <w:num w:numId="28" w16cid:durableId="413863636">
    <w:abstractNumId w:val="20"/>
  </w:num>
  <w:num w:numId="29" w16cid:durableId="2060088507">
    <w:abstractNumId w:val="8"/>
  </w:num>
  <w:num w:numId="30" w16cid:durableId="2059357871">
    <w:abstractNumId w:val="22"/>
  </w:num>
  <w:num w:numId="31" w16cid:durableId="1203664882">
    <w:abstractNumId w:val="3"/>
  </w:num>
  <w:num w:numId="32" w16cid:durableId="1674187042">
    <w:abstractNumId w:val="33"/>
  </w:num>
  <w:num w:numId="33" w16cid:durableId="1734304775">
    <w:abstractNumId w:val="40"/>
  </w:num>
  <w:num w:numId="34" w16cid:durableId="445122100">
    <w:abstractNumId w:val="26"/>
  </w:num>
  <w:num w:numId="35" w16cid:durableId="519005873">
    <w:abstractNumId w:val="32"/>
  </w:num>
  <w:num w:numId="36" w16cid:durableId="1502548766">
    <w:abstractNumId w:val="16"/>
  </w:num>
  <w:num w:numId="37" w16cid:durableId="639269108">
    <w:abstractNumId w:val="9"/>
  </w:num>
  <w:num w:numId="38" w16cid:durableId="41104671">
    <w:abstractNumId w:val="21"/>
  </w:num>
  <w:num w:numId="39" w16cid:durableId="514225980">
    <w:abstractNumId w:val="6"/>
  </w:num>
  <w:num w:numId="40" w16cid:durableId="300810665">
    <w:abstractNumId w:val="5"/>
  </w:num>
  <w:num w:numId="41" w16cid:durableId="1708487058">
    <w:abstractNumId w:val="19"/>
  </w:num>
  <w:num w:numId="42" w16cid:durableId="811286138">
    <w:abstractNumId w:val="23"/>
  </w:num>
  <w:num w:numId="43" w16cid:durableId="213584505">
    <w:abstractNumId w:val="25"/>
  </w:num>
  <w:num w:numId="44" w16cid:durableId="1704210852">
    <w:abstractNumId w:val="0"/>
  </w:num>
  <w:num w:numId="45" w16cid:durableId="314116454">
    <w:abstractNumId w:val="7"/>
  </w:num>
  <w:num w:numId="46" w16cid:durableId="1309020941">
    <w:abstractNumId w:val="2"/>
  </w:num>
  <w:num w:numId="47" w16cid:durableId="2394131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417E7D"/>
    <w:rsid w:val="005D5B52"/>
    <w:rsid w:val="009C4F33"/>
    <w:rsid w:val="00B82FE3"/>
    <w:rsid w:val="00C97A03"/>
    <w:rsid w:val="00D523EC"/>
    <w:rsid w:val="00D6213F"/>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5333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2024-03-09T09:49:00Z</dcterms:created>
  <dcterms:modified xsi:type="dcterms:W3CDTF">2025-05-15T10:08:00Z</dcterms:modified>
</cp:coreProperties>
</file>